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40A1" w14:textId="4EACC6E9" w:rsidR="008644DA" w:rsidRDefault="00E231A0">
      <w:pPr>
        <w:spacing w:line="240" w:lineRule="auto"/>
        <w:ind w:left="108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58-R-</w:t>
      </w:r>
      <w:r w:rsidR="00E44087">
        <w:rPr>
          <w:rFonts w:ascii="Times New Roman" w:eastAsia="Times New Roman" w:hAnsi="Times New Roman" w:cs="Times New Roman"/>
          <w:b/>
          <w:bCs/>
          <w:sz w:val="24"/>
          <w:szCs w:val="24"/>
        </w:rPr>
        <w:t>50</w:t>
      </w:r>
    </w:p>
    <w:p w14:paraId="4E4740A2" w14:textId="77777777" w:rsidR="008644DA" w:rsidRDefault="008644DA">
      <w:pPr>
        <w:spacing w:line="240" w:lineRule="auto"/>
        <w:ind w:left="360" w:hanging="720"/>
        <w:jc w:val="center"/>
        <w:rPr>
          <w:rFonts w:ascii="Times New Roman" w:eastAsia="Times New Roman" w:hAnsi="Times New Roman" w:cs="Times New Roman"/>
          <w:b/>
          <w:bCs/>
          <w:sz w:val="24"/>
          <w:szCs w:val="24"/>
        </w:rPr>
      </w:pPr>
    </w:p>
    <w:p w14:paraId="4E4740A3" w14:textId="77777777" w:rsidR="008644DA" w:rsidRDefault="00E231A0">
      <w:pPr>
        <w:spacing w:line="240" w:lineRule="auto"/>
        <w:ind w:left="360" w:hanging="720"/>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 Resolution </w:t>
      </w:r>
      <w:proofErr w:type="gramStart"/>
      <w:r>
        <w:rPr>
          <w:rFonts w:ascii="Times New Roman" w:eastAsia="Times New Roman" w:hAnsi="Times New Roman" w:cs="Times New Roman"/>
          <w:b/>
          <w:bCs/>
          <w:sz w:val="24"/>
          <w:szCs w:val="24"/>
          <w:u w:val="single"/>
        </w:rPr>
        <w:t>To</w:t>
      </w:r>
      <w:proofErr w:type="gramEnd"/>
      <w:r>
        <w:rPr>
          <w:rFonts w:ascii="Times New Roman" w:eastAsia="Times New Roman" w:hAnsi="Times New Roman" w:cs="Times New Roman"/>
          <w:b/>
          <w:bCs/>
          <w:sz w:val="24"/>
          <w:szCs w:val="24"/>
          <w:u w:val="single"/>
        </w:rPr>
        <w:t xml:space="preserve"> Call on the Office of Student Life to Pay Student Employees who participate in GROW Conversations</w:t>
      </w:r>
    </w:p>
    <w:p w14:paraId="4E4740A4" w14:textId="77777777" w:rsidR="008644DA" w:rsidRDefault="008644DA">
      <w:pPr>
        <w:spacing w:line="240" w:lineRule="auto"/>
        <w:rPr>
          <w:rFonts w:ascii="Times New Roman" w:eastAsia="Times New Roman" w:hAnsi="Times New Roman" w:cs="Times New Roman"/>
          <w:b/>
          <w:bCs/>
          <w:sz w:val="24"/>
          <w:szCs w:val="24"/>
          <w:u w:val="single"/>
        </w:rPr>
      </w:pPr>
      <w:bookmarkStart w:id="0" w:name="_4ouyjvhc9et3" w:colFirst="0" w:colLast="0"/>
      <w:bookmarkEnd w:id="0"/>
    </w:p>
    <w:p w14:paraId="4E4740A5" w14:textId="77777777" w:rsidR="008644DA" w:rsidRDefault="008644DA">
      <w:pPr>
        <w:rPr>
          <w:rFonts w:ascii="Times New Roman" w:eastAsia="Times New Roman" w:hAnsi="Times New Roman" w:cs="Times New Roman"/>
          <w:sz w:val="24"/>
          <w:szCs w:val="24"/>
        </w:rPr>
        <w:sectPr w:rsidR="008644DA">
          <w:headerReference w:type="default" r:id="rId6"/>
          <w:footerReference w:type="default" r:id="rId7"/>
          <w:headerReference w:type="first" r:id="rId8"/>
          <w:footerReference w:type="first" r:id="rId9"/>
          <w:pgSz w:w="12240" w:h="15840"/>
          <w:pgMar w:top="1440" w:right="1440" w:bottom="1440" w:left="1440" w:header="720" w:footer="720" w:gutter="0"/>
          <w:lnNumType w:countBy="1" w:restart="continuous"/>
          <w:pgNumType w:start="1"/>
          <w:cols w:space="720"/>
          <w:titlePg/>
        </w:sectPr>
      </w:pPr>
      <w:bookmarkStart w:id="1" w:name="_ud3xnnfbyl7k" w:colFirst="0" w:colLast="0"/>
      <w:bookmarkEnd w:id="1"/>
    </w:p>
    <w:p w14:paraId="4E4740A6" w14:textId="5DCD4712" w:rsidR="008644DA" w:rsidRDefault="00E231A0">
      <w:pPr>
        <w:rPr>
          <w:rFonts w:ascii="Times New Roman" w:eastAsia="Times New Roman" w:hAnsi="Times New Roman" w:cs="Times New Roman"/>
          <w:sz w:val="24"/>
          <w:szCs w:val="24"/>
        </w:rPr>
      </w:pPr>
      <w:bookmarkStart w:id="2" w:name="_6nawmasdjpfj" w:colFirst="0" w:colLast="0"/>
      <w:bookmarkEnd w:id="2"/>
      <w:r>
        <w:rPr>
          <w:rFonts w:ascii="Times New Roman" w:eastAsia="Times New Roman" w:hAnsi="Times New Roman" w:cs="Times New Roman"/>
          <w:sz w:val="24"/>
          <w:szCs w:val="24"/>
        </w:rPr>
        <w:t>Julian Yetsky (for himself) introduced the following resolution to the Student Affairs Committee where it passed</w:t>
      </w:r>
      <w:r>
        <w:rPr>
          <w:rFonts w:ascii="Times New Roman" w:eastAsia="Times New Roman" w:hAnsi="Times New Roman" w:cs="Times New Roman"/>
          <w:sz w:val="24"/>
          <w:szCs w:val="24"/>
        </w:rPr>
        <w:t>. Then, to the Steering Committee where it passed</w:t>
      </w:r>
      <w:r>
        <w:rPr>
          <w:rFonts w:ascii="Times New Roman" w:eastAsia="Times New Roman" w:hAnsi="Times New Roman" w:cs="Times New Roman"/>
          <w:sz w:val="24"/>
          <w:szCs w:val="24"/>
        </w:rPr>
        <w:t>, and to the floor where it passed/failed.</w:t>
      </w:r>
    </w:p>
    <w:p w14:paraId="4E4740A7" w14:textId="77777777" w:rsidR="008644DA" w:rsidRDefault="00E231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tab/>
      </w:r>
      <w:r>
        <w:rPr>
          <w:rFonts w:ascii="Times New Roman" w:eastAsia="Times New Roman" w:hAnsi="Times New Roman" w:cs="Times New Roman"/>
          <w:sz w:val="24"/>
          <w:szCs w:val="24"/>
        </w:rPr>
        <w:t>*</w:t>
      </w:r>
      <w:r>
        <w:tab/>
      </w:r>
      <w:r>
        <w:rPr>
          <w:rFonts w:ascii="Times New Roman" w:eastAsia="Times New Roman" w:hAnsi="Times New Roman" w:cs="Times New Roman"/>
          <w:sz w:val="24"/>
          <w:szCs w:val="24"/>
        </w:rPr>
        <w:t>*</w:t>
      </w:r>
    </w:p>
    <w:p w14:paraId="4E4740A8" w14:textId="77777777" w:rsidR="008644DA" w:rsidRDefault="008644DA">
      <w:pPr>
        <w:rPr>
          <w:rFonts w:ascii="Times New Roman" w:eastAsia="Times New Roman" w:hAnsi="Times New Roman" w:cs="Times New Roman"/>
          <w:b/>
          <w:bCs/>
          <w:sz w:val="24"/>
          <w:szCs w:val="24"/>
        </w:rPr>
        <w:sectPr w:rsidR="008644DA">
          <w:type w:val="continuous"/>
          <w:pgSz w:w="12240" w:h="15840"/>
          <w:pgMar w:top="1440" w:right="1440" w:bottom="1440" w:left="1440" w:header="720" w:footer="720" w:gutter="0"/>
          <w:lnNumType w:countBy="1" w:restart="continuous"/>
          <w:cols w:space="720"/>
        </w:sectPr>
      </w:pPr>
    </w:p>
    <w:p w14:paraId="4E4740A9"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Undergraduate Student Government represents all undergraduate students at The Ohio State University; and</w:t>
      </w:r>
    </w:p>
    <w:p w14:paraId="4E4740AA" w14:textId="77777777" w:rsidR="008644DA" w:rsidRDefault="008644DA">
      <w:pPr>
        <w:rPr>
          <w:rFonts w:ascii="Times New Roman" w:eastAsia="Times New Roman" w:hAnsi="Times New Roman" w:cs="Times New Roman"/>
          <w:sz w:val="24"/>
          <w:szCs w:val="24"/>
        </w:rPr>
      </w:pPr>
    </w:p>
    <w:p w14:paraId="4E4740AB"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at the start of the 2025-2026 academic year, Dining Services eliminated paid performance reviews for student employees because it required “significant administrative effort while providing limited additional value in supporting student development or operational effectiveness.”</w:t>
      </w:r>
    </w:p>
    <w:p w14:paraId="4E4740AC" w14:textId="77777777" w:rsidR="008644DA" w:rsidRDefault="008644DA">
      <w:pPr>
        <w:rPr>
          <w:rFonts w:ascii="Times New Roman" w:eastAsia="Times New Roman" w:hAnsi="Times New Roman" w:cs="Times New Roman"/>
          <w:sz w:val="24"/>
          <w:szCs w:val="24"/>
        </w:rPr>
      </w:pPr>
    </w:p>
    <w:p w14:paraId="4E4740AD"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Dining Services decided to lean on GROW (Guided Reflection on Work) Conversations under the Student Employment Experience (SEE) because they “have become well-established frameworks that provide meaningful structure for student learning, feedback, and professional development.”</w:t>
      </w:r>
    </w:p>
    <w:p w14:paraId="4E4740AE" w14:textId="77777777" w:rsidR="008644DA" w:rsidRDefault="008644DA">
      <w:pPr>
        <w:rPr>
          <w:rFonts w:ascii="Times New Roman" w:eastAsia="Times New Roman" w:hAnsi="Times New Roman" w:cs="Times New Roman"/>
          <w:sz w:val="24"/>
          <w:szCs w:val="24"/>
        </w:rPr>
      </w:pPr>
    </w:p>
    <w:p w14:paraId="4E4740AF"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GROW Conversations occur once a semester (during November and March) to “connect the experiences of student employees with their academic coursework and future career plans.” The GROW webpage doesn’t explicitly state whether these conversations are paid.</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4E4740B0" w14:textId="77777777" w:rsidR="008644DA" w:rsidRDefault="008644DA">
      <w:pPr>
        <w:rPr>
          <w:rFonts w:ascii="Times New Roman" w:eastAsia="Times New Roman" w:hAnsi="Times New Roman" w:cs="Times New Roman"/>
          <w:sz w:val="24"/>
          <w:szCs w:val="24"/>
        </w:rPr>
      </w:pPr>
    </w:p>
    <w:p w14:paraId="4E4740B1"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SEE supervisors are "encouraged," not required, to pay student employees to attend workshops under SEE.</w:t>
      </w:r>
      <w:r>
        <w:rPr>
          <w:rFonts w:ascii="Times New Roman" w:eastAsia="Times New Roman" w:hAnsi="Times New Roman" w:cs="Times New Roman"/>
          <w:sz w:val="24"/>
          <w:szCs w:val="24"/>
          <w:vertAlign w:val="superscript"/>
        </w:rPr>
        <w:footnoteReference w:id="2"/>
      </w:r>
    </w:p>
    <w:p w14:paraId="4E4740B2" w14:textId="77777777" w:rsidR="008644DA" w:rsidRDefault="008644DA">
      <w:pPr>
        <w:rPr>
          <w:rFonts w:ascii="Times New Roman" w:eastAsia="Times New Roman" w:hAnsi="Times New Roman" w:cs="Times New Roman"/>
          <w:sz w:val="24"/>
          <w:szCs w:val="24"/>
        </w:rPr>
      </w:pPr>
    </w:p>
    <w:p w14:paraId="4E4740B3"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when Dining Services promotes GROW conversations to their student employees, it’s unclear whether these conversations are paid or unpaid, thereby disincentivizing student employees from participating in them.</w:t>
      </w:r>
      <w:r>
        <w:rPr>
          <w:rFonts w:ascii="Times New Roman" w:eastAsia="Times New Roman" w:hAnsi="Times New Roman" w:cs="Times New Roman"/>
          <w:sz w:val="24"/>
          <w:szCs w:val="24"/>
          <w:vertAlign w:val="superscript"/>
        </w:rPr>
        <w:footnoteReference w:id="3"/>
      </w:r>
    </w:p>
    <w:p w14:paraId="4E4740B4" w14:textId="77777777" w:rsidR="008644DA" w:rsidRDefault="008644DA">
      <w:pPr>
        <w:rPr>
          <w:rFonts w:ascii="Times New Roman" w:eastAsia="Times New Roman" w:hAnsi="Times New Roman" w:cs="Times New Roman"/>
          <w:sz w:val="24"/>
          <w:szCs w:val="24"/>
        </w:rPr>
      </w:pPr>
    </w:p>
    <w:p w14:paraId="4E4740B5" w14:textId="77777777" w:rsidR="008644DA" w:rsidRDefault="00E231A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Dining Services has promoted leadership development workshops that are explicitly paid.</w:t>
      </w:r>
      <w:r>
        <w:rPr>
          <w:rFonts w:ascii="Times New Roman" w:eastAsia="Times New Roman" w:hAnsi="Times New Roman" w:cs="Times New Roman"/>
          <w:sz w:val="24"/>
          <w:szCs w:val="24"/>
          <w:vertAlign w:val="superscript"/>
        </w:rPr>
        <w:footnoteReference w:id="4"/>
      </w:r>
    </w:p>
    <w:p w14:paraId="4E4740B6"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it can seem unfair to eliminate paid performance reviews within Dining Services yet replace them with GROW Conversations marked by uncertainty about their compensation.</w:t>
      </w:r>
    </w:p>
    <w:p w14:paraId="4E4740B7" w14:textId="77777777" w:rsidR="008644DA" w:rsidRDefault="008644DA">
      <w:pPr>
        <w:rPr>
          <w:rFonts w:ascii="Times New Roman" w:eastAsia="Times New Roman" w:hAnsi="Times New Roman" w:cs="Times New Roman"/>
          <w:b/>
          <w:bCs/>
          <w:sz w:val="24"/>
          <w:szCs w:val="24"/>
        </w:rPr>
      </w:pPr>
    </w:p>
    <w:p w14:paraId="4E4740B8"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supervisors at Loyola University Maryland are expected to pay student employees one hour of paid shift time to participate in GROW Conversations.</w:t>
      </w:r>
      <w:r>
        <w:rPr>
          <w:rFonts w:ascii="Times New Roman" w:eastAsia="Times New Roman" w:hAnsi="Times New Roman" w:cs="Times New Roman"/>
          <w:sz w:val="24"/>
          <w:szCs w:val="24"/>
          <w:vertAlign w:val="superscript"/>
        </w:rPr>
        <w:footnoteReference w:id="5"/>
      </w:r>
    </w:p>
    <w:p w14:paraId="4E4740B9" w14:textId="77777777" w:rsidR="008644DA" w:rsidRDefault="008644DA">
      <w:pPr>
        <w:rPr>
          <w:rFonts w:ascii="Times New Roman" w:eastAsia="Times New Roman" w:hAnsi="Times New Roman" w:cs="Times New Roman"/>
          <w:sz w:val="24"/>
          <w:szCs w:val="24"/>
        </w:rPr>
      </w:pPr>
    </w:p>
    <w:p w14:paraId="4E4740BA"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Therefore, </w:t>
      </w:r>
      <w:proofErr w:type="gramStart"/>
      <w:r>
        <w:rPr>
          <w:rFonts w:ascii="Times New Roman" w:eastAsia="Times New Roman" w:hAnsi="Times New Roman" w:cs="Times New Roman"/>
          <w:b/>
          <w:bCs/>
          <w:sz w:val="24"/>
          <w:szCs w:val="24"/>
        </w:rPr>
        <w:t>Let</w:t>
      </w:r>
      <w:proofErr w:type="gramEnd"/>
      <w:r>
        <w:rPr>
          <w:rFonts w:ascii="Times New Roman" w:eastAsia="Times New Roman" w:hAnsi="Times New Roman" w:cs="Times New Roman"/>
          <w:b/>
          <w:bCs/>
          <w:sz w:val="24"/>
          <w:szCs w:val="24"/>
        </w:rPr>
        <w:t xml:space="preserve"> it Be Resolved </w:t>
      </w:r>
      <w:r>
        <w:rPr>
          <w:rFonts w:ascii="Times New Roman" w:eastAsia="Times New Roman" w:hAnsi="Times New Roman" w:cs="Times New Roman"/>
          <w:sz w:val="24"/>
          <w:szCs w:val="24"/>
        </w:rPr>
        <w:t xml:space="preserve">that the Undergraduate Student Government supports GROW Conversations and compensating student employees with at least one hour of paid shift time for those who engage with them each semester. </w:t>
      </w:r>
    </w:p>
    <w:p w14:paraId="4E4740BB" w14:textId="77777777" w:rsidR="008644DA" w:rsidRDefault="008644DA">
      <w:pPr>
        <w:rPr>
          <w:rFonts w:ascii="Times New Roman" w:eastAsia="Times New Roman" w:hAnsi="Times New Roman" w:cs="Times New Roman"/>
          <w:b/>
          <w:bCs/>
          <w:sz w:val="24"/>
          <w:szCs w:val="24"/>
        </w:rPr>
      </w:pPr>
    </w:p>
    <w:p w14:paraId="4E4740BC" w14:textId="77777777" w:rsidR="008644DA" w:rsidRDefault="00E231A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Let it Further Be Resolved </w:t>
      </w:r>
      <w:r>
        <w:rPr>
          <w:rFonts w:ascii="Times New Roman" w:eastAsia="Times New Roman" w:hAnsi="Times New Roman" w:cs="Times New Roman"/>
          <w:sz w:val="24"/>
          <w:szCs w:val="24"/>
        </w:rPr>
        <w:t>that the Undergraduate Student Government calls on The Ohio State University Office of Student Life (and its various units that participate in SEE) to explicitly state that participation in GROW Conversations is paid.</w:t>
      </w:r>
    </w:p>
    <w:p w14:paraId="4E4740BD" w14:textId="77777777" w:rsidR="008644DA" w:rsidRDefault="008644DA">
      <w:pPr>
        <w:rPr>
          <w:rFonts w:ascii="Times New Roman" w:eastAsia="Times New Roman" w:hAnsi="Times New Roman" w:cs="Times New Roman"/>
          <w:sz w:val="24"/>
          <w:szCs w:val="24"/>
        </w:rPr>
      </w:pPr>
    </w:p>
    <w:p w14:paraId="4E4740BE" w14:textId="77777777" w:rsidR="008644DA" w:rsidRDefault="008644DA">
      <w:pPr>
        <w:rPr>
          <w:rFonts w:ascii="Times New Roman" w:eastAsia="Times New Roman" w:hAnsi="Times New Roman" w:cs="Times New Roman"/>
          <w:sz w:val="24"/>
          <w:szCs w:val="24"/>
        </w:rPr>
      </w:pPr>
    </w:p>
    <w:p w14:paraId="4E4740BF" w14:textId="77777777" w:rsidR="008644DA" w:rsidRDefault="00E231A0">
      <w:pPr>
        <w:jc w:val="center"/>
        <w:rPr>
          <w:rFonts w:ascii="Times New Roman" w:eastAsia="Times New Roman" w:hAnsi="Times New Roman" w:cs="Times New Roman"/>
        </w:rPr>
      </w:pPr>
      <w:r>
        <w:rPr>
          <w:rFonts w:ascii="Times New Roman" w:eastAsia="Times New Roman" w:hAnsi="Times New Roman" w:cs="Times New Roman"/>
        </w:rPr>
        <w:t>Floor Vote:    Aye: ____ Nay: ____ Abstain: ____ Present: ____</w:t>
      </w:r>
    </w:p>
    <w:p w14:paraId="4E4740C0" w14:textId="77777777" w:rsidR="008644DA" w:rsidRDefault="008644DA">
      <w:pPr>
        <w:jc w:val="center"/>
        <w:rPr>
          <w:rFonts w:ascii="Times New Roman" w:eastAsia="Times New Roman" w:hAnsi="Times New Roman" w:cs="Times New Roman"/>
        </w:rPr>
      </w:pPr>
    </w:p>
    <w:p w14:paraId="4E4740C1" w14:textId="77777777" w:rsidR="008644DA" w:rsidRDefault="008644DA">
      <w:pPr>
        <w:jc w:val="center"/>
        <w:rPr>
          <w:rFonts w:ascii="Times New Roman" w:eastAsia="Times New Roman" w:hAnsi="Times New Roman" w:cs="Times New Roman"/>
        </w:rPr>
      </w:pPr>
    </w:p>
    <w:p w14:paraId="4E4740C2" w14:textId="77777777" w:rsidR="008644DA" w:rsidRDefault="008644DA">
      <w:pPr>
        <w:jc w:val="center"/>
        <w:rPr>
          <w:rFonts w:ascii="Times New Roman" w:eastAsia="Times New Roman" w:hAnsi="Times New Roman" w:cs="Times New Roman"/>
        </w:rPr>
      </w:pPr>
    </w:p>
    <w:p w14:paraId="4E4740C3" w14:textId="77777777" w:rsidR="008644DA" w:rsidRDefault="00E231A0">
      <w:pPr>
        <w:rPr>
          <w:rFonts w:ascii="Times New Roman" w:eastAsia="Times New Roman" w:hAnsi="Times New Roman" w:cs="Times New Roman"/>
        </w:rPr>
      </w:pPr>
      <w:r>
        <w:rPr>
          <w:rFonts w:ascii="Times New Roman" w:eastAsia="Times New Roman" w:hAnsi="Times New Roman" w:cs="Times New Roman"/>
        </w:rPr>
        <w:t>_________________________________                  ________________________________</w:t>
      </w:r>
    </w:p>
    <w:p w14:paraId="4E4740C4" w14:textId="77777777" w:rsidR="008644DA" w:rsidRDefault="00E231A0">
      <w:pPr>
        <w:rPr>
          <w:rFonts w:ascii="Times New Roman" w:eastAsia="Times New Roman" w:hAnsi="Times New Roman" w:cs="Times New Roman"/>
        </w:rPr>
      </w:pPr>
      <w:r>
        <w:rPr>
          <w:rFonts w:ascii="Times New Roman" w:eastAsia="Times New Roman" w:hAnsi="Times New Roman" w:cs="Times New Roman"/>
        </w:rPr>
        <w:t>Jessica Asante-Tutu</w:t>
      </w:r>
      <w:r>
        <w:tab/>
      </w:r>
      <w:r>
        <w:tab/>
      </w:r>
      <w:r>
        <w:tab/>
      </w:r>
      <w:r>
        <w:tab/>
      </w:r>
      <w:r>
        <w:rPr>
          <w:rFonts w:ascii="Times New Roman" w:eastAsia="Times New Roman" w:hAnsi="Times New Roman" w:cs="Times New Roman"/>
        </w:rPr>
        <w:t xml:space="preserve">      Terrell McCann</w:t>
      </w:r>
    </w:p>
    <w:p w14:paraId="4E4740C5" w14:textId="77777777" w:rsidR="008644DA" w:rsidRDefault="00E231A0">
      <w:pPr>
        <w:rPr>
          <w:rFonts w:ascii="Times New Roman" w:eastAsia="Times New Roman" w:hAnsi="Times New Roman" w:cs="Times New Roman"/>
        </w:rPr>
      </w:pPr>
      <w:r>
        <w:rPr>
          <w:rFonts w:ascii="Times New Roman" w:eastAsia="Times New Roman" w:hAnsi="Times New Roman" w:cs="Times New Roman"/>
        </w:rPr>
        <w:t>President</w:t>
      </w:r>
      <w:r>
        <w:tab/>
      </w:r>
      <w:r>
        <w:tab/>
      </w:r>
      <w:r>
        <w:tab/>
      </w:r>
      <w:r>
        <w:tab/>
      </w:r>
      <w:r>
        <w:tab/>
      </w:r>
      <w:r>
        <w:rPr>
          <w:rFonts w:ascii="Times New Roman" w:eastAsia="Times New Roman" w:hAnsi="Times New Roman" w:cs="Times New Roman"/>
        </w:rPr>
        <w:t xml:space="preserve">      Speaker of the 58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General Assembly</w:t>
      </w:r>
    </w:p>
    <w:p w14:paraId="4E4740C6" w14:textId="77777777" w:rsidR="008644DA" w:rsidRDefault="008644DA">
      <w:pPr>
        <w:rPr>
          <w:rFonts w:ascii="Times New Roman" w:eastAsia="Times New Roman" w:hAnsi="Times New Roman" w:cs="Times New Roman"/>
        </w:rPr>
      </w:pPr>
    </w:p>
    <w:p w14:paraId="4E4740C7" w14:textId="77777777" w:rsidR="008644DA" w:rsidRDefault="008644DA">
      <w:pPr>
        <w:rPr>
          <w:rFonts w:ascii="Times New Roman" w:eastAsia="Times New Roman" w:hAnsi="Times New Roman" w:cs="Times New Roman"/>
        </w:rPr>
      </w:pPr>
    </w:p>
    <w:p w14:paraId="4E4740C8" w14:textId="77777777" w:rsidR="008644DA" w:rsidRDefault="008644DA">
      <w:pPr>
        <w:rPr>
          <w:rFonts w:ascii="Times New Roman" w:eastAsia="Times New Roman" w:hAnsi="Times New Roman" w:cs="Times New Roman"/>
        </w:rPr>
      </w:pPr>
    </w:p>
    <w:p w14:paraId="4E4740C9" w14:textId="77777777" w:rsidR="008644DA" w:rsidRDefault="00E231A0">
      <w:pPr>
        <w:rPr>
          <w:rFonts w:ascii="Times New Roman" w:eastAsia="Times New Roman" w:hAnsi="Times New Roman" w:cs="Times New Roman"/>
        </w:rPr>
      </w:pPr>
      <w:r>
        <w:rPr>
          <w:rFonts w:ascii="Times New Roman" w:eastAsia="Times New Roman" w:hAnsi="Times New Roman" w:cs="Times New Roman"/>
        </w:rPr>
        <w:t xml:space="preserve">Date Adopted: _____________________ </w:t>
      </w:r>
      <w:r>
        <w:tab/>
      </w:r>
      <w:r>
        <w:rPr>
          <w:rFonts w:ascii="Times New Roman" w:eastAsia="Times New Roman" w:hAnsi="Times New Roman" w:cs="Times New Roman"/>
        </w:rPr>
        <w:t xml:space="preserve">      Date Terminated: ___________________</w:t>
      </w:r>
    </w:p>
    <w:sectPr w:rsidR="008644DA">
      <w:type w:val="continuous"/>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C1371" w14:textId="77777777" w:rsidR="00E231A0" w:rsidRDefault="00E231A0">
      <w:pPr>
        <w:spacing w:line="240" w:lineRule="auto"/>
      </w:pPr>
      <w:r>
        <w:separator/>
      </w:r>
    </w:p>
  </w:endnote>
  <w:endnote w:type="continuationSeparator" w:id="0">
    <w:p w14:paraId="6AD4D1E2" w14:textId="77777777" w:rsidR="00E231A0" w:rsidRDefault="00E23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F3A3C0D-57DE-0242-8240-7C2B20123101}"/>
    <w:embedItalic r:id="rId2" w:fontKey="{B6D99B8D-2466-FA40-AABB-3C044A3E92C8}"/>
  </w:font>
  <w:font w:name="Times New Roman">
    <w:panose1 w:val="02020603050405020304"/>
    <w:charset w:val="00"/>
    <w:family w:val="roman"/>
    <w:pitch w:val="variable"/>
    <w:sig w:usb0="E0002EFF" w:usb1="C000785B" w:usb2="00000009" w:usb3="00000000" w:csb0="000001FF" w:csb1="00000000"/>
    <w:embedRegular r:id="rId3" w:fontKey="{C7DC3D6B-6C7F-924B-8D9A-6CEE28417A96}"/>
    <w:embedBold r:id="rId4" w:fontKey="{346F80D4-767E-0944-B57D-2CC0C4CA4CC5}"/>
  </w:font>
  <w:font w:name="Calibri">
    <w:panose1 w:val="020F0502020204030204"/>
    <w:charset w:val="00"/>
    <w:family w:val="swiss"/>
    <w:pitch w:val="variable"/>
    <w:sig w:usb0="E4002EFF" w:usb1="C200247B" w:usb2="00000009" w:usb3="00000000" w:csb0="000001FF" w:csb1="00000000"/>
    <w:embedRegular r:id="rId5" w:fontKey="{1CA33045-8562-4F4F-AA46-63017772F9DE}"/>
  </w:font>
  <w:font w:name="Cambria">
    <w:panose1 w:val="02040503050406030204"/>
    <w:charset w:val="00"/>
    <w:family w:val="roman"/>
    <w:pitch w:val="variable"/>
    <w:sig w:usb0="E00002FF" w:usb1="400004FF" w:usb2="00000000" w:usb3="00000000" w:csb0="0000019F" w:csb1="00000000"/>
    <w:embedRegular r:id="rId6" w:fontKey="{1098BEDE-3617-D04A-B3FB-540926B0E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40CB" w14:textId="77777777" w:rsidR="008644DA" w:rsidRDefault="008644DA">
    <w:pP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40CD" w14:textId="77777777" w:rsidR="008644DA" w:rsidRDefault="008644DA">
    <w:pPr>
      <w:rPr>
        <w:rFonts w:ascii="Times New Roman" w:eastAsia="Times New Roman" w:hAnsi="Times New Roman" w:cs="Times New Roman"/>
      </w:rPr>
    </w:pPr>
  </w:p>
  <w:p w14:paraId="4E4740CE" w14:textId="77777777" w:rsidR="008644DA" w:rsidRDefault="008644DA"/>
  <w:p w14:paraId="4E4740CF" w14:textId="77777777" w:rsidR="008644DA" w:rsidRDefault="008644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9326" w14:textId="77777777" w:rsidR="00E231A0" w:rsidRDefault="00E231A0">
      <w:pPr>
        <w:spacing w:line="240" w:lineRule="auto"/>
      </w:pPr>
      <w:r>
        <w:separator/>
      </w:r>
    </w:p>
  </w:footnote>
  <w:footnote w:type="continuationSeparator" w:id="0">
    <w:p w14:paraId="656A77E3" w14:textId="77777777" w:rsidR="00E231A0" w:rsidRDefault="00E231A0">
      <w:pPr>
        <w:spacing w:line="240" w:lineRule="auto"/>
      </w:pPr>
      <w:r>
        <w:continuationSeparator/>
      </w:r>
    </w:p>
  </w:footnote>
  <w:footnote w:id="1">
    <w:p w14:paraId="4E4740D0" w14:textId="77777777" w:rsidR="008644DA" w:rsidRDefault="00E231A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https://see.osu.edu/supervisors/seela-and-grow</w:t>
        </w:r>
      </w:hyperlink>
      <w:r>
        <w:rPr>
          <w:sz w:val="20"/>
          <w:szCs w:val="20"/>
        </w:rPr>
        <w:t xml:space="preserve"> </w:t>
      </w:r>
    </w:p>
  </w:footnote>
  <w:footnote w:id="2">
    <w:p w14:paraId="4E4740D1" w14:textId="77777777" w:rsidR="008644DA" w:rsidRDefault="00E231A0">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https://see.osu.edu/students/student-employee-faq</w:t>
        </w:r>
      </w:hyperlink>
      <w:r>
        <w:rPr>
          <w:sz w:val="20"/>
          <w:szCs w:val="20"/>
        </w:rPr>
        <w:t xml:space="preserve"> </w:t>
      </w:r>
    </w:p>
  </w:footnote>
  <w:footnote w:id="3">
    <w:p w14:paraId="4E4740D2" w14:textId="77777777" w:rsidR="008644DA" w:rsidRDefault="00E231A0">
      <w:pPr>
        <w:spacing w:line="240" w:lineRule="auto"/>
        <w:rPr>
          <w:sz w:val="20"/>
          <w:szCs w:val="20"/>
        </w:rPr>
      </w:pPr>
      <w:r>
        <w:rPr>
          <w:vertAlign w:val="superscript"/>
        </w:rPr>
        <w:footnoteRef/>
      </w:r>
      <w:r>
        <w:rPr>
          <w:sz w:val="20"/>
          <w:szCs w:val="20"/>
        </w:rPr>
        <w:t xml:space="preserve"> Refer to Appendix A for exact wording</w:t>
      </w:r>
    </w:p>
  </w:footnote>
  <w:footnote w:id="4">
    <w:p w14:paraId="4E4740D3" w14:textId="77777777" w:rsidR="008644DA" w:rsidRDefault="00E231A0">
      <w:pPr>
        <w:spacing w:line="240" w:lineRule="auto"/>
        <w:rPr>
          <w:sz w:val="20"/>
          <w:szCs w:val="20"/>
        </w:rPr>
      </w:pPr>
      <w:r>
        <w:rPr>
          <w:vertAlign w:val="superscript"/>
        </w:rPr>
        <w:footnoteRef/>
      </w:r>
      <w:r>
        <w:rPr>
          <w:sz w:val="20"/>
          <w:szCs w:val="20"/>
        </w:rPr>
        <w:t xml:space="preserve"> Refer to Appendix B</w:t>
      </w:r>
    </w:p>
  </w:footnote>
  <w:footnote w:id="5">
    <w:p w14:paraId="4E4740D4" w14:textId="77777777" w:rsidR="008644DA" w:rsidRDefault="00E231A0">
      <w:pPr>
        <w:spacing w:line="240" w:lineRule="auto"/>
        <w:rPr>
          <w:sz w:val="20"/>
          <w:szCs w:val="20"/>
        </w:rPr>
      </w:pPr>
      <w:r>
        <w:rPr>
          <w:vertAlign w:val="superscript"/>
        </w:rPr>
        <w:footnoteRef/>
      </w:r>
      <w:hyperlink r:id="rId3">
        <w:r>
          <w:rPr>
            <w:rFonts w:ascii="Times New Roman" w:eastAsia="Times New Roman" w:hAnsi="Times New Roman" w:cs="Times New Roman"/>
            <w:color w:val="1155CC"/>
            <w:sz w:val="24"/>
            <w:szCs w:val="24"/>
            <w:u w:val="single"/>
          </w:rPr>
          <w:t>https://www.loyola.edu/department/career-center/communities/faculty-administrators/loyolagrow.html</w:t>
        </w:r>
      </w:hyperlink>
      <w:r>
        <w:rPr>
          <w:rFonts w:ascii="Times New Roman" w:eastAsia="Times New Roman" w:hAnsi="Times New Roman" w:cs="Times New Roman"/>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40CA" w14:textId="77777777" w:rsidR="008644DA" w:rsidRDefault="008644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40CC" w14:textId="77777777" w:rsidR="008644DA" w:rsidRDefault="008644D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DA"/>
    <w:rsid w:val="008644DA"/>
    <w:rsid w:val="00E22DBE"/>
    <w:rsid w:val="00E231A0"/>
    <w:rsid w:val="00E44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740A1"/>
  <w15:docId w15:val="{D6D7998A-4C30-1A4A-81E3-E167525B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E44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loyola.edu/department/career-center/communities/faculty-administrators/loyolagrow.html" TargetMode="External"/><Relationship Id="rId2" Type="http://schemas.openxmlformats.org/officeDocument/2006/relationships/hyperlink" Target="https://see.osu.edu/students/student-employee-faq" TargetMode="External"/><Relationship Id="rId1" Type="http://schemas.openxmlformats.org/officeDocument/2006/relationships/hyperlink" Target="https://see.osu.edu/supervisors/seela-and-gr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2477</Characters>
  <Application>Microsoft Office Word</Application>
  <DocSecurity>0</DocSecurity>
  <Lines>65</Lines>
  <Paragraphs>23</Paragraphs>
  <ScaleCrop>false</ScaleCrop>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McCann, Terrell</cp:lastModifiedBy>
  <cp:revision>2</cp:revision>
  <dcterms:created xsi:type="dcterms:W3CDTF">2026-03-24T14:17:00Z</dcterms:created>
  <dcterms:modified xsi:type="dcterms:W3CDTF">2026-03-24T14:17:00Z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0x010100C17F70018518DE4E919941220FF7DF10</vt:lpwstr>
  </property>
  <property fmtid="{D5CDD505-2E9C-101B-9397-08002B2CF9AE}" pid="3" name="MediaServiceImageTags">
    <vt:lpwstr>MediaServiceImageTags</vt:lpwstr>
  </property>
  <property fmtid="{D5CDD505-2E9C-101B-9397-08002B2CF9AE}" pid="4" name="Order">
    <vt:lpwstr>7300</vt:lpwstr>
  </property>
  <property fmtid="{D5CDD505-2E9C-101B-9397-08002B2CF9AE}" pid="5" name="xd_Signature">
    <vt:lpwstr>false</vt:lpwstr>
  </property>
  <property fmtid="{D5CDD505-2E9C-101B-9397-08002B2CF9AE}" pid="6" name="SharedWithUsers">
    <vt:lpwstr>171;#Wong, Andrew K.;#186;#Magoun, James H.</vt:lpwstr>
  </property>
  <property fmtid="{D5CDD505-2E9C-101B-9397-08002B2CF9AE}" pid="7" name="xd_ProgID">
    <vt:lpwstr>xd_ProgID</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_ExtendedDescription">
    <vt:lpwstr>_ExtendedDescription</vt:lpwstr>
  </property>
  <property fmtid="{D5CDD505-2E9C-101B-9397-08002B2CF9AE}" pid="11" name="TriggerFlowInfo">
    <vt:lpwstr>TriggerFlowInfo</vt:lpwstr>
  </property>
</Properties>
</file>